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0A5C7" w14:textId="21CD1673" w:rsidR="003F6A57" w:rsidRDefault="003F6A57" w:rsidP="007B6F88">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11119B">
        <w:rPr>
          <w:rFonts w:ascii="Arial" w:hAnsi="Arial" w:cs="Arial"/>
          <w:b/>
          <w:sz w:val="24"/>
          <w:szCs w:val="28"/>
          <w:lang w:val="en-US"/>
        </w:rPr>
        <w:t>4</w:t>
      </w:r>
      <w:r w:rsidRPr="001D2FBF">
        <w:rPr>
          <w:rFonts w:ascii="Arial" w:hAnsi="Arial" w:cs="Arial"/>
          <w:b/>
          <w:sz w:val="24"/>
          <w:szCs w:val="28"/>
          <w:lang w:val="en-US"/>
        </w:rPr>
        <w:t>-e</w:t>
      </w:r>
      <w:r w:rsidRPr="001D2FBF">
        <w:rPr>
          <w:rFonts w:ascii="Arial" w:hAnsi="Arial" w:cs="Arial"/>
          <w:b/>
          <w:sz w:val="24"/>
          <w:szCs w:val="28"/>
        </w:rPr>
        <w:tab/>
      </w:r>
      <w:r w:rsidR="005F7745" w:rsidRPr="005F7745">
        <w:rPr>
          <w:rFonts w:ascii="Arial" w:hAnsi="Arial" w:cs="Arial"/>
          <w:b/>
          <w:sz w:val="24"/>
          <w:szCs w:val="28"/>
          <w:lang w:val="en-US"/>
        </w:rPr>
        <w:t>R4-2212548</w:t>
      </w:r>
      <w:bookmarkStart w:id="3" w:name="_GoBack"/>
      <w:bookmarkEnd w:id="3"/>
    </w:p>
    <w:p w14:paraId="1DA4B124" w14:textId="0B64DD35" w:rsidR="003F6A57" w:rsidRPr="001D2FBF" w:rsidRDefault="003F6A57" w:rsidP="007B6F88">
      <w:pPr>
        <w:widowControl w:val="0"/>
        <w:tabs>
          <w:tab w:val="right" w:pos="9072"/>
        </w:tabs>
        <w:spacing w:after="0"/>
        <w:jc w:val="both"/>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11119B">
        <w:rPr>
          <w:rFonts w:ascii="Arial" w:hAnsi="Arial" w:cs="Arial"/>
          <w:b/>
          <w:sz w:val="24"/>
          <w:szCs w:val="28"/>
          <w:lang w:val="en-US"/>
        </w:rPr>
        <w:t>Aug.</w:t>
      </w:r>
      <w:r>
        <w:rPr>
          <w:rFonts w:ascii="Arial" w:hAnsi="Arial" w:cs="Arial"/>
          <w:b/>
          <w:sz w:val="24"/>
          <w:szCs w:val="28"/>
          <w:lang w:val="en-US"/>
        </w:rPr>
        <w:t xml:space="preserve"> </w:t>
      </w:r>
      <w:r w:rsidR="0011119B">
        <w:rPr>
          <w:rFonts w:ascii="Arial" w:hAnsi="Arial" w:cs="Arial"/>
          <w:b/>
          <w:sz w:val="24"/>
          <w:szCs w:val="28"/>
          <w:lang w:val="en-US"/>
        </w:rPr>
        <w:t>15</w:t>
      </w:r>
      <w:r>
        <w:rPr>
          <w:rFonts w:ascii="Arial" w:hAnsi="Arial" w:cs="Arial"/>
          <w:b/>
          <w:sz w:val="24"/>
          <w:szCs w:val="28"/>
          <w:lang w:val="en-US"/>
        </w:rPr>
        <w:t xml:space="preserve"> </w:t>
      </w:r>
      <w:r w:rsidR="009749A8">
        <w:rPr>
          <w:rFonts w:ascii="Arial" w:hAnsi="Arial" w:cs="Arial"/>
          <w:b/>
          <w:sz w:val="24"/>
          <w:szCs w:val="24"/>
        </w:rPr>
        <w:t>–</w:t>
      </w:r>
      <w:r>
        <w:rPr>
          <w:rFonts w:ascii="Arial" w:hAnsi="Arial" w:cs="Arial"/>
          <w:b/>
          <w:sz w:val="24"/>
          <w:szCs w:val="24"/>
        </w:rPr>
        <w:t xml:space="preserve"> </w:t>
      </w:r>
      <w:r w:rsidR="009749A8">
        <w:rPr>
          <w:rFonts w:ascii="Arial" w:hAnsi="Arial" w:cs="Arial"/>
          <w:b/>
          <w:sz w:val="24"/>
          <w:szCs w:val="24"/>
        </w:rPr>
        <w:t>Aug.</w:t>
      </w:r>
      <w:r>
        <w:rPr>
          <w:rFonts w:ascii="Arial" w:hAnsi="Arial" w:cs="Arial"/>
          <w:b/>
          <w:sz w:val="24"/>
          <w:szCs w:val="24"/>
        </w:rPr>
        <w:t xml:space="preserve"> 2</w:t>
      </w:r>
      <w:r w:rsidR="009749A8">
        <w:rPr>
          <w:rFonts w:ascii="Arial" w:hAnsi="Arial" w:cs="Arial"/>
          <w:b/>
          <w:sz w:val="24"/>
          <w:szCs w:val="24"/>
        </w:rPr>
        <w:t>6</w:t>
      </w:r>
      <w:r w:rsidRPr="001D2FBF">
        <w:rPr>
          <w:rFonts w:ascii="Arial" w:hAnsi="Arial" w:cs="Arial"/>
          <w:b/>
          <w:sz w:val="24"/>
          <w:szCs w:val="28"/>
          <w:lang w:val="en-US"/>
        </w:rPr>
        <w:t>, 202</w:t>
      </w:r>
      <w:r>
        <w:rPr>
          <w:rFonts w:ascii="Arial" w:hAnsi="Arial" w:cs="Arial"/>
          <w:b/>
          <w:sz w:val="24"/>
          <w:szCs w:val="28"/>
          <w:lang w:val="en-US"/>
        </w:rPr>
        <w:t>2</w:t>
      </w:r>
    </w:p>
    <w:bookmarkEnd w:id="1"/>
    <w:p w14:paraId="522C70A4" w14:textId="1406DCB2" w:rsidR="003F6A57" w:rsidRPr="00AB4182" w:rsidRDefault="003F6A57" w:rsidP="007B6F88">
      <w:pPr>
        <w:tabs>
          <w:tab w:val="left" w:pos="284"/>
          <w:tab w:val="left" w:pos="568"/>
          <w:tab w:val="left" w:pos="852"/>
          <w:tab w:val="left" w:pos="1136"/>
          <w:tab w:val="left" w:pos="1420"/>
          <w:tab w:val="left" w:pos="1704"/>
          <w:tab w:val="left" w:pos="1988"/>
          <w:tab w:val="left" w:pos="4215"/>
        </w:tabs>
        <w:spacing w:before="240" w:after="120"/>
        <w:ind w:left="1985" w:hanging="1985"/>
        <w:jc w:val="both"/>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22DA">
        <w:rPr>
          <w:rFonts w:ascii="Arial" w:hAnsi="Arial" w:cs="Arial"/>
          <w:color w:val="000000"/>
          <w:sz w:val="22"/>
          <w:lang w:val="pt-BR"/>
        </w:rPr>
        <w:t>13</w:t>
      </w:r>
      <w:r w:rsidR="005018A7">
        <w:rPr>
          <w:rFonts w:ascii="Arial" w:hAnsi="Arial" w:cs="Arial"/>
          <w:color w:val="000000"/>
          <w:sz w:val="22"/>
        </w:rPr>
        <w:t>.1.</w:t>
      </w:r>
      <w:r w:rsidR="007422DA">
        <w:rPr>
          <w:rFonts w:ascii="Arial" w:hAnsi="Arial" w:cs="Arial"/>
          <w:color w:val="000000"/>
          <w:sz w:val="22"/>
        </w:rPr>
        <w:t>4</w:t>
      </w:r>
    </w:p>
    <w:p w14:paraId="0DEA371F" w14:textId="213AFBA8" w:rsidR="003F6A57" w:rsidRPr="00915D73" w:rsidRDefault="003F6A57" w:rsidP="007B6F88">
      <w:pPr>
        <w:spacing w:after="120"/>
        <w:ind w:left="1985" w:hanging="1985"/>
        <w:jc w:val="both"/>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BF6C65">
        <w:rPr>
          <w:rFonts w:ascii="Arial" w:hAnsi="Arial" w:cs="Arial"/>
          <w:color w:val="000000"/>
          <w:sz w:val="22"/>
        </w:rPr>
        <w:t>OPPO</w:t>
      </w:r>
    </w:p>
    <w:p w14:paraId="6D51572F" w14:textId="73FE4BF4" w:rsidR="003F6A57" w:rsidRPr="00873E1F" w:rsidRDefault="003F6A57" w:rsidP="007B6F88">
      <w:pPr>
        <w:spacing w:after="120"/>
        <w:ind w:left="1985" w:hanging="1985"/>
        <w:jc w:val="both"/>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lang w:val="en-US"/>
        </w:rPr>
        <w:t xml:space="preserve">Reply </w:t>
      </w:r>
      <w:r w:rsidRPr="003F6A57">
        <w:rPr>
          <w:rFonts w:ascii="Arial" w:hAnsi="Arial" w:cs="Arial"/>
          <w:color w:val="000000"/>
          <w:sz w:val="22"/>
        </w:rPr>
        <w:t>LS on BWP operation without bandwidth restriction</w:t>
      </w:r>
    </w:p>
    <w:p w14:paraId="648A8562" w14:textId="77777777" w:rsidR="003F6A57" w:rsidRPr="00DF181C" w:rsidRDefault="003F6A57" w:rsidP="007B6F88">
      <w:pPr>
        <w:spacing w:after="120"/>
        <w:ind w:left="1985" w:hanging="1985"/>
        <w:jc w:val="both"/>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312BDC3D" w14:textId="77777777" w:rsidR="003F6A57" w:rsidRPr="001D2FBF" w:rsidRDefault="003F6A57" w:rsidP="007B6F88">
      <w:pPr>
        <w:pStyle w:val="a3"/>
        <w:keepNext/>
        <w:keepLines/>
        <w:numPr>
          <w:ilvl w:val="0"/>
          <w:numId w:val="23"/>
        </w:numPr>
        <w:pBdr>
          <w:top w:val="single" w:sz="12" w:space="3" w:color="auto"/>
        </w:pBdr>
        <w:spacing w:before="240" w:after="0"/>
        <w:contextualSpacing/>
        <w:jc w:val="both"/>
        <w:outlineLvl w:val="0"/>
        <w:rPr>
          <w:sz w:val="36"/>
          <w:szCs w:val="36"/>
        </w:rPr>
      </w:pPr>
      <w:bookmarkStart w:id="4" w:name="OLE_LINK13"/>
      <w:bookmarkStart w:id="5" w:name="OLE_LINK14"/>
      <w:r w:rsidRPr="001D2FBF">
        <w:rPr>
          <w:sz w:val="36"/>
          <w:szCs w:val="36"/>
        </w:rPr>
        <w:t>Introduction</w:t>
      </w:r>
    </w:p>
    <w:p w14:paraId="0493FE4F" w14:textId="232D8029" w:rsidR="007B6F88" w:rsidRDefault="003F6A57" w:rsidP="00E65BDE">
      <w:pPr>
        <w:spacing w:before="120" w:afterLines="50" w:after="120"/>
        <w:jc w:val="both"/>
        <w:rPr>
          <w:sz w:val="22"/>
          <w:szCs w:val="22"/>
          <w:lang w:val="en-US"/>
        </w:rPr>
      </w:pPr>
      <w:r>
        <w:rPr>
          <w:rFonts w:hint="eastAsia"/>
          <w:sz w:val="22"/>
          <w:szCs w:val="22"/>
          <w:lang w:val="en-US"/>
        </w:rPr>
        <w:t>I</w:t>
      </w:r>
      <w:r>
        <w:rPr>
          <w:sz w:val="22"/>
          <w:szCs w:val="22"/>
          <w:lang w:val="en-US"/>
        </w:rPr>
        <w:t>n RAN2 LS</w:t>
      </w:r>
      <w:r w:rsidR="00E65BDE">
        <w:rPr>
          <w:sz w:val="22"/>
          <w:szCs w:val="22"/>
          <w:lang w:val="en-US"/>
        </w:rPr>
        <w:t xml:space="preserve"> </w:t>
      </w:r>
      <w:r>
        <w:rPr>
          <w:sz w:val="22"/>
          <w:szCs w:val="22"/>
          <w:lang w:val="en-US"/>
        </w:rPr>
        <w:t xml:space="preserve">[1], RAN4 is asked to </w:t>
      </w:r>
      <w:r w:rsidR="000664AD">
        <w:rPr>
          <w:sz w:val="22"/>
          <w:szCs w:val="22"/>
          <w:lang w:val="en-US"/>
        </w:rPr>
        <w:t>answer questions related to BWP operation without bandwidth restriction</w:t>
      </w:r>
      <w:r>
        <w:rPr>
          <w:sz w:val="22"/>
          <w:szCs w:val="22"/>
          <w:lang w:val="en-US"/>
        </w:rPr>
        <w:t>.</w:t>
      </w:r>
      <w:r w:rsidR="007B6F88" w:rsidRPr="007B6F88">
        <w:rPr>
          <w:sz w:val="22"/>
          <w:szCs w:val="22"/>
          <w:lang w:val="en-US"/>
        </w:rPr>
        <w:t xml:space="preserve"> A way forward</w:t>
      </w:r>
      <w:r w:rsidR="007B6F88">
        <w:rPr>
          <w:sz w:val="22"/>
          <w:szCs w:val="22"/>
          <w:lang w:val="en-US"/>
        </w:rPr>
        <w:t xml:space="preserve"> [2]</w:t>
      </w:r>
      <w:r w:rsidR="007B6F88" w:rsidRPr="007B6F88">
        <w:rPr>
          <w:sz w:val="22"/>
          <w:szCs w:val="22"/>
          <w:lang w:val="en-US"/>
        </w:rPr>
        <w:t xml:space="preserve"> in last RAN-P meeting was also approved to task RAN4 to make progress on discussions related to the RAN 2 LS, aim</w:t>
      </w:r>
      <w:r w:rsidR="007B6F88">
        <w:rPr>
          <w:sz w:val="22"/>
          <w:szCs w:val="22"/>
          <w:lang w:val="en-US"/>
        </w:rPr>
        <w:t>ing</w:t>
      </w:r>
      <w:r w:rsidR="007B6F88" w:rsidRPr="007B6F88">
        <w:rPr>
          <w:sz w:val="22"/>
          <w:szCs w:val="22"/>
          <w:lang w:val="en-US"/>
        </w:rPr>
        <w:t xml:space="preserve"> to ensure that </w:t>
      </w:r>
      <w:r w:rsidR="007B6F88" w:rsidRPr="006010D9">
        <w:rPr>
          <w:b/>
          <w:sz w:val="22"/>
          <w:szCs w:val="22"/>
          <w:lang w:val="en-US"/>
        </w:rPr>
        <w:t>Feature Group 6-1a “</w:t>
      </w:r>
      <w:proofErr w:type="spellStart"/>
      <w:r w:rsidR="007B6F88" w:rsidRPr="006010D9">
        <w:rPr>
          <w:b/>
          <w:sz w:val="22"/>
          <w:szCs w:val="22"/>
          <w:lang w:val="en-US"/>
        </w:rPr>
        <w:t>bwp-WithoutRestriction</w:t>
      </w:r>
      <w:proofErr w:type="spellEnd"/>
      <w:r w:rsidR="007B6F88" w:rsidRPr="006010D9">
        <w:rPr>
          <w:b/>
          <w:sz w:val="22"/>
          <w:szCs w:val="22"/>
          <w:lang w:val="en-US"/>
        </w:rPr>
        <w:t>”</w:t>
      </w:r>
      <w:r w:rsidR="007B6F88" w:rsidRPr="007B6F88">
        <w:rPr>
          <w:sz w:val="22"/>
          <w:szCs w:val="22"/>
          <w:lang w:val="en-US"/>
        </w:rPr>
        <w:t xml:space="preserve"> works in an early implementable form in R18, or, possibly R17, and report progress to RAN #97.</w:t>
      </w:r>
    </w:p>
    <w:tbl>
      <w:tblPr>
        <w:tblStyle w:val="afff5"/>
        <w:tblW w:w="0" w:type="auto"/>
        <w:tblInd w:w="0" w:type="dxa"/>
        <w:tblLook w:val="04A0" w:firstRow="1" w:lastRow="0" w:firstColumn="1" w:lastColumn="0" w:noHBand="0" w:noVBand="1"/>
      </w:tblPr>
      <w:tblGrid>
        <w:gridCol w:w="9630"/>
      </w:tblGrid>
      <w:tr w:rsidR="003F6A57" w14:paraId="4C8B0559" w14:textId="77777777" w:rsidTr="00DD494C">
        <w:tc>
          <w:tcPr>
            <w:tcW w:w="9630" w:type="dxa"/>
          </w:tcPr>
          <w:p w14:paraId="4A37716C" w14:textId="77777777" w:rsidR="000664AD" w:rsidRPr="00EA30DB" w:rsidRDefault="000664AD" w:rsidP="007B6F88">
            <w:pPr>
              <w:spacing w:beforeLines="50" w:afterLines="50" w:after="120" w:line="240" w:lineRule="auto"/>
              <w:rPr>
                <w:rFonts w:ascii="Times New Roman" w:hAnsi="Times New Roman"/>
                <w:b/>
                <w:sz w:val="22"/>
                <w:szCs w:val="22"/>
                <w:lang w:eastAsia="zh-CN"/>
              </w:rPr>
            </w:pPr>
            <w:r w:rsidRPr="00EA30DB">
              <w:rPr>
                <w:rFonts w:ascii="Times New Roman" w:hAnsi="Times New Roman"/>
                <w:b/>
                <w:sz w:val="22"/>
                <w:szCs w:val="22"/>
                <w:lang w:eastAsia="zh-CN"/>
              </w:rPr>
              <w:t>Question 1:</w:t>
            </w:r>
          </w:p>
          <w:p w14:paraId="4C0729A1" w14:textId="77777777" w:rsidR="000664AD" w:rsidRPr="00EA30DB" w:rsidRDefault="000664AD" w:rsidP="007B6F88">
            <w:pPr>
              <w:spacing w:beforeLines="50" w:afterLines="50" w:after="120" w:line="240" w:lineRule="auto"/>
              <w:rPr>
                <w:rFonts w:ascii="Times New Roman" w:hAnsi="Times New Roman"/>
                <w:sz w:val="22"/>
                <w:szCs w:val="22"/>
                <w:lang w:eastAsia="zh-CN"/>
              </w:rPr>
            </w:pPr>
            <w:r w:rsidRPr="00EA30DB">
              <w:rPr>
                <w:rFonts w:ascii="Times New Roman" w:hAnsi="Times New Roman"/>
                <w:sz w:val="22"/>
                <w:szCs w:val="22"/>
                <w:lang w:eastAsia="zh-CN"/>
              </w:rPr>
              <w:t>Whether it is a valid scenario in the standard to support the operation of BWP without SSB where the UE does not perform BM/RLM/BFD due to the lack of necessary reference signal (SSB and CSI-RS) in the active BWP.</w:t>
            </w:r>
          </w:p>
          <w:p w14:paraId="49D4E6D2" w14:textId="77777777" w:rsidR="000664AD" w:rsidRPr="00EA30DB" w:rsidRDefault="000664AD" w:rsidP="007B6F88">
            <w:pPr>
              <w:spacing w:beforeLines="50" w:afterLines="50" w:after="120" w:line="240" w:lineRule="auto"/>
              <w:rPr>
                <w:rFonts w:ascii="Times New Roman" w:hAnsi="Times New Roman"/>
                <w:b/>
                <w:sz w:val="22"/>
                <w:szCs w:val="22"/>
                <w:lang w:eastAsia="zh-CN"/>
              </w:rPr>
            </w:pPr>
            <w:r w:rsidRPr="00EA30DB">
              <w:rPr>
                <w:rFonts w:ascii="Times New Roman" w:hAnsi="Times New Roman"/>
                <w:b/>
                <w:sz w:val="22"/>
                <w:szCs w:val="22"/>
                <w:lang w:eastAsia="zh-CN"/>
              </w:rPr>
              <w:t>Question 2:</w:t>
            </w:r>
          </w:p>
          <w:p w14:paraId="308A8131" w14:textId="295F6695" w:rsidR="003F6A57" w:rsidRPr="00EA30DB" w:rsidRDefault="000664AD" w:rsidP="007B6F88">
            <w:pPr>
              <w:spacing w:beforeLines="50" w:afterLines="50" w:after="120" w:line="240" w:lineRule="auto"/>
              <w:rPr>
                <w:sz w:val="21"/>
                <w:szCs w:val="21"/>
              </w:rPr>
            </w:pPr>
            <w:r w:rsidRPr="00EA30DB">
              <w:rPr>
                <w:rFonts w:ascii="Times New Roman" w:hAnsi="Times New Roman"/>
                <w:sz w:val="22"/>
                <w:szCs w:val="22"/>
                <w:lang w:eastAsia="zh-CN"/>
              </w:rPr>
              <w:t>If the answer to question 1 is that this is not valid, how should the UE perform BM/RLM/BFD when the active BWP does not contain SSB.</w:t>
            </w:r>
          </w:p>
        </w:tc>
      </w:tr>
    </w:tbl>
    <w:p w14:paraId="0C590B4A" w14:textId="4BEF2736" w:rsidR="003F6A57" w:rsidRPr="001D2FBF" w:rsidRDefault="003F6A57" w:rsidP="007B6F88">
      <w:pPr>
        <w:spacing w:before="120" w:after="0"/>
        <w:jc w:val="both"/>
        <w:rPr>
          <w:sz w:val="22"/>
          <w:szCs w:val="22"/>
          <w:lang w:val="en-US"/>
        </w:rPr>
      </w:pPr>
      <w:r>
        <w:rPr>
          <w:sz w:val="22"/>
          <w:szCs w:val="22"/>
          <w:lang w:val="en-US"/>
        </w:rPr>
        <w:t xml:space="preserve">In this contribution, we provide our views on </w:t>
      </w:r>
      <w:r w:rsidR="00EE4292">
        <w:rPr>
          <w:sz w:val="22"/>
          <w:szCs w:val="22"/>
          <w:lang w:val="en-US"/>
        </w:rPr>
        <w:t>BWP operation without bandwidth restriction</w:t>
      </w:r>
      <w:r>
        <w:rPr>
          <w:sz w:val="22"/>
          <w:szCs w:val="22"/>
          <w:lang w:val="en-US"/>
        </w:rPr>
        <w:t xml:space="preserve"> for </w:t>
      </w:r>
      <w:r w:rsidR="00EE4292">
        <w:rPr>
          <w:sz w:val="22"/>
          <w:szCs w:val="22"/>
          <w:lang w:val="en-US"/>
        </w:rPr>
        <w:t>legacy normal</w:t>
      </w:r>
      <w:r>
        <w:rPr>
          <w:sz w:val="22"/>
          <w:szCs w:val="22"/>
          <w:lang w:val="en-US"/>
        </w:rPr>
        <w:t xml:space="preserve"> UE.</w:t>
      </w:r>
    </w:p>
    <w:p w14:paraId="4F12D532" w14:textId="77777777" w:rsidR="003F6A57" w:rsidRPr="001D2FBF" w:rsidRDefault="003F6A57" w:rsidP="007B6F88">
      <w:pPr>
        <w:pStyle w:val="1"/>
        <w:numPr>
          <w:ilvl w:val="0"/>
          <w:numId w:val="23"/>
        </w:numPr>
        <w:tabs>
          <w:tab w:val="num" w:pos="432"/>
        </w:tabs>
        <w:spacing w:before="360" w:after="0"/>
        <w:ind w:left="357" w:hanging="357"/>
        <w:jc w:val="both"/>
      </w:pPr>
      <w:r>
        <w:t>Discussion</w:t>
      </w:r>
    </w:p>
    <w:p w14:paraId="2F396941" w14:textId="5D5D51A1" w:rsidR="006D617C" w:rsidRDefault="006D617C" w:rsidP="00755C81">
      <w:pPr>
        <w:spacing w:afterLines="50" w:after="120"/>
        <w:jc w:val="both"/>
        <w:rPr>
          <w:sz w:val="22"/>
          <w:szCs w:val="22"/>
        </w:rPr>
      </w:pPr>
      <w:r w:rsidRPr="00370F54">
        <w:rPr>
          <w:rFonts w:hint="eastAsia"/>
          <w:sz w:val="22"/>
          <w:szCs w:val="22"/>
        </w:rPr>
        <w:t>F</w:t>
      </w:r>
      <w:r w:rsidRPr="00370F54">
        <w:rPr>
          <w:sz w:val="22"/>
          <w:szCs w:val="22"/>
        </w:rPr>
        <w:t>rom RRM requirement perspective, RLM/BFD/CBD/BM measurement</w:t>
      </w:r>
      <w:r w:rsidR="009902F6">
        <w:rPr>
          <w:sz w:val="22"/>
          <w:szCs w:val="22"/>
        </w:rPr>
        <w:t>s</w:t>
      </w:r>
      <w:r w:rsidRPr="00370F54">
        <w:rPr>
          <w:sz w:val="22"/>
          <w:szCs w:val="22"/>
        </w:rPr>
        <w:t xml:space="preserve"> are all performed on the RS resources within active BWP</w:t>
      </w:r>
      <w:r w:rsidR="0091139B">
        <w:rPr>
          <w:sz w:val="22"/>
          <w:szCs w:val="22"/>
        </w:rPr>
        <w:t xml:space="preserve"> for serving cells</w:t>
      </w:r>
      <w:r w:rsidRPr="00370F54">
        <w:rPr>
          <w:sz w:val="22"/>
          <w:szCs w:val="22"/>
        </w:rPr>
        <w:t xml:space="preserve">. </w:t>
      </w:r>
      <w:r w:rsidR="00755C81">
        <w:rPr>
          <w:sz w:val="22"/>
          <w:szCs w:val="22"/>
        </w:rPr>
        <w:t>I</w:t>
      </w:r>
      <w:r>
        <w:rPr>
          <w:sz w:val="22"/>
          <w:szCs w:val="22"/>
        </w:rPr>
        <w:t>f</w:t>
      </w:r>
      <w:r w:rsidRPr="00370F54">
        <w:rPr>
          <w:sz w:val="22"/>
          <w:szCs w:val="22"/>
        </w:rPr>
        <w:t xml:space="preserve"> active BWP does not contain SSB</w:t>
      </w:r>
      <w:r w:rsidR="00157F37">
        <w:rPr>
          <w:sz w:val="22"/>
          <w:szCs w:val="22"/>
        </w:rPr>
        <w:t xml:space="preserve"> or CSI-RS, </w:t>
      </w:r>
      <w:r>
        <w:rPr>
          <w:sz w:val="22"/>
          <w:szCs w:val="22"/>
        </w:rPr>
        <w:t xml:space="preserve">no RRM requirements are specified for such cases. </w:t>
      </w:r>
      <w:r w:rsidR="00157F37" w:rsidRPr="00EA30DB">
        <w:rPr>
          <w:sz w:val="22"/>
          <w:szCs w:val="22"/>
        </w:rPr>
        <w:t>Since it is not supported from standardization perspective, it is totally up to UE implementation.</w:t>
      </w:r>
    </w:p>
    <w:p w14:paraId="3008F961" w14:textId="36E9217D" w:rsidR="00EA30DB" w:rsidRDefault="00EA30DB" w:rsidP="00EA30DB">
      <w:pPr>
        <w:spacing w:afterLines="50" w:after="120"/>
        <w:jc w:val="both"/>
        <w:rPr>
          <w:sz w:val="22"/>
          <w:szCs w:val="22"/>
        </w:rPr>
      </w:pPr>
      <w:r w:rsidRPr="00370F54">
        <w:rPr>
          <w:rFonts w:hint="eastAsia"/>
          <w:sz w:val="22"/>
          <w:szCs w:val="22"/>
        </w:rPr>
        <w:t>F</w:t>
      </w:r>
      <w:r w:rsidRPr="00370F54">
        <w:rPr>
          <w:sz w:val="22"/>
          <w:szCs w:val="22"/>
        </w:rPr>
        <w:t>rom RAN4 perspective</w:t>
      </w:r>
      <w:r>
        <w:rPr>
          <w:sz w:val="22"/>
          <w:szCs w:val="22"/>
        </w:rPr>
        <w:t>,</w:t>
      </w:r>
      <w:r w:rsidRPr="00370F54">
        <w:rPr>
          <w:sz w:val="22"/>
          <w:szCs w:val="22"/>
        </w:rPr>
        <w:t xml:space="preserve"> it is </w:t>
      </w:r>
      <w:r>
        <w:rPr>
          <w:sz w:val="22"/>
          <w:szCs w:val="22"/>
        </w:rPr>
        <w:t xml:space="preserve">not </w:t>
      </w:r>
      <w:r w:rsidRPr="00370F54">
        <w:rPr>
          <w:sz w:val="22"/>
          <w:szCs w:val="22"/>
        </w:rPr>
        <w:t>valid that the UE does not perform BM/RLM/BFD.</w:t>
      </w:r>
      <w:r>
        <w:rPr>
          <w:sz w:val="22"/>
          <w:szCs w:val="22"/>
        </w:rPr>
        <w:t xml:space="preserve"> Otherwise,</w:t>
      </w:r>
      <w:r w:rsidRPr="00370F54">
        <w:rPr>
          <w:sz w:val="22"/>
          <w:szCs w:val="22"/>
        </w:rPr>
        <w:t xml:space="preserve"> </w:t>
      </w:r>
      <w:r>
        <w:rPr>
          <w:sz w:val="22"/>
          <w:szCs w:val="22"/>
        </w:rPr>
        <w:t>t</w:t>
      </w:r>
      <w:r w:rsidRPr="00370F54">
        <w:rPr>
          <w:sz w:val="22"/>
          <w:szCs w:val="22"/>
        </w:rPr>
        <w:t xml:space="preserve">he </w:t>
      </w:r>
      <w:r>
        <w:rPr>
          <w:sz w:val="22"/>
          <w:szCs w:val="22"/>
        </w:rPr>
        <w:t>link</w:t>
      </w:r>
      <w:r w:rsidRPr="00370F54">
        <w:rPr>
          <w:sz w:val="22"/>
          <w:szCs w:val="22"/>
        </w:rPr>
        <w:t xml:space="preserve"> between NW and UE are not guaranteed. </w:t>
      </w:r>
    </w:p>
    <w:p w14:paraId="77831792" w14:textId="7B721F7C" w:rsidR="00EA30DB" w:rsidRPr="00EA30DB" w:rsidRDefault="00EA30DB" w:rsidP="00EA30DB">
      <w:pPr>
        <w:spacing w:afterLines="50" w:after="120"/>
        <w:jc w:val="both"/>
        <w:rPr>
          <w:b/>
          <w:sz w:val="22"/>
          <w:szCs w:val="22"/>
        </w:rPr>
      </w:pPr>
      <w:r w:rsidRPr="00EA30DB">
        <w:rPr>
          <w:rFonts w:hint="eastAsia"/>
          <w:b/>
          <w:sz w:val="22"/>
          <w:szCs w:val="22"/>
        </w:rPr>
        <w:t>P</w:t>
      </w:r>
      <w:r w:rsidRPr="00EA30DB">
        <w:rPr>
          <w:b/>
          <w:sz w:val="22"/>
          <w:szCs w:val="22"/>
        </w:rPr>
        <w:t xml:space="preserve">roposal 1: </w:t>
      </w:r>
      <w:r w:rsidRPr="00EA30DB">
        <w:rPr>
          <w:b/>
          <w:sz w:val="21"/>
          <w:szCs w:val="21"/>
          <w:lang w:eastAsia="ja-JP"/>
        </w:rPr>
        <w:t>From a RAN4 specification point of view, the scenario in which UE does not perform BM/RLM/BFD is not valid.</w:t>
      </w:r>
    </w:p>
    <w:p w14:paraId="19FE1410" w14:textId="0C498BB0" w:rsidR="004E1AC9" w:rsidRDefault="00EA30DB" w:rsidP="00EA30DB">
      <w:pPr>
        <w:spacing w:before="240" w:after="0"/>
        <w:jc w:val="both"/>
        <w:rPr>
          <w:sz w:val="21"/>
          <w:szCs w:val="21"/>
        </w:rPr>
      </w:pP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r>
        <w:rPr>
          <w:sz w:val="21"/>
          <w:szCs w:val="21"/>
        </w:rPr>
        <w:t>?</w:t>
      </w:r>
      <w:r w:rsidR="0091139B">
        <w:rPr>
          <w:sz w:val="21"/>
          <w:szCs w:val="21"/>
        </w:rPr>
        <w:t xml:space="preserve"> </w:t>
      </w:r>
      <w:r>
        <w:rPr>
          <w:sz w:val="22"/>
          <w:szCs w:val="22"/>
        </w:rPr>
        <w:t xml:space="preserve">One option </w:t>
      </w:r>
      <w:r w:rsidR="00D445F7">
        <w:rPr>
          <w:sz w:val="22"/>
          <w:szCs w:val="22"/>
        </w:rPr>
        <w:t>could</w:t>
      </w:r>
      <w:r>
        <w:rPr>
          <w:sz w:val="22"/>
          <w:szCs w:val="22"/>
        </w:rPr>
        <w:t xml:space="preserve"> be that </w:t>
      </w:r>
      <w:r w:rsidRPr="00484C15">
        <w:rPr>
          <w:sz w:val="22"/>
          <w:szCs w:val="22"/>
        </w:rPr>
        <w:t>UE may use larger CBW than active BWP</w:t>
      </w:r>
      <w:r>
        <w:rPr>
          <w:sz w:val="22"/>
          <w:szCs w:val="22"/>
        </w:rPr>
        <w:t xml:space="preserve"> </w:t>
      </w:r>
      <w:r w:rsidR="00D445F7">
        <w:rPr>
          <w:sz w:val="22"/>
          <w:szCs w:val="22"/>
        </w:rPr>
        <w:t>to contain</w:t>
      </w:r>
      <w:r>
        <w:rPr>
          <w:sz w:val="22"/>
          <w:szCs w:val="22"/>
        </w:rPr>
        <w:t xml:space="preserve"> </w:t>
      </w:r>
      <w:r w:rsidR="00D445F7">
        <w:rPr>
          <w:rFonts w:eastAsia="Yu Mincho"/>
          <w:sz w:val="21"/>
          <w:szCs w:val="21"/>
          <w:lang w:eastAsia="ja-JP"/>
        </w:rPr>
        <w:t xml:space="preserve">target RS (SSB or CSI-RS) </w:t>
      </w:r>
      <w:r>
        <w:rPr>
          <w:sz w:val="22"/>
          <w:szCs w:val="22"/>
        </w:rPr>
        <w:t>in the UE channel bandwidth.</w:t>
      </w:r>
      <w:r w:rsidRPr="00484C15">
        <w:rPr>
          <w:sz w:val="22"/>
          <w:szCs w:val="22"/>
        </w:rPr>
        <w:t xml:space="preserve"> </w:t>
      </w:r>
      <w:r w:rsidR="00D445F7">
        <w:rPr>
          <w:sz w:val="22"/>
          <w:szCs w:val="22"/>
        </w:rPr>
        <w:t>It is feasible for</w:t>
      </w:r>
      <w:r w:rsidRPr="00484C15">
        <w:rPr>
          <w:sz w:val="22"/>
          <w:szCs w:val="22"/>
        </w:rPr>
        <w:t xml:space="preserve"> UE to meet </w:t>
      </w:r>
      <w:r>
        <w:rPr>
          <w:sz w:val="22"/>
          <w:szCs w:val="22"/>
        </w:rPr>
        <w:t xml:space="preserve">RRM requirements </w:t>
      </w:r>
      <w:r w:rsidR="00D445F7">
        <w:rPr>
          <w:sz w:val="22"/>
          <w:szCs w:val="22"/>
        </w:rPr>
        <w:t xml:space="preserve">in this scenario, but UE </w:t>
      </w:r>
      <w:r w:rsidR="0091139B">
        <w:rPr>
          <w:sz w:val="22"/>
          <w:szCs w:val="22"/>
        </w:rPr>
        <w:t>cannot achieve</w:t>
      </w:r>
      <w:r w:rsidR="00D445F7">
        <w:rPr>
          <w:sz w:val="22"/>
          <w:szCs w:val="22"/>
        </w:rPr>
        <w:t xml:space="preserve"> </w:t>
      </w:r>
      <w:r w:rsidRPr="00484C15">
        <w:rPr>
          <w:sz w:val="22"/>
          <w:szCs w:val="22"/>
        </w:rPr>
        <w:t>power saving</w:t>
      </w:r>
      <w:r w:rsidR="00D445F7">
        <w:rPr>
          <w:sz w:val="22"/>
          <w:szCs w:val="22"/>
        </w:rPr>
        <w:t xml:space="preserve"> gain</w:t>
      </w:r>
      <w:r w:rsidRPr="00484C15">
        <w:rPr>
          <w:sz w:val="22"/>
          <w:szCs w:val="22"/>
        </w:rPr>
        <w:t>.</w:t>
      </w:r>
      <w:r w:rsidR="0091139B">
        <w:rPr>
          <w:sz w:val="22"/>
          <w:szCs w:val="22"/>
        </w:rPr>
        <w:t xml:space="preserve"> </w:t>
      </w:r>
      <w:r>
        <w:rPr>
          <w:sz w:val="22"/>
          <w:szCs w:val="22"/>
        </w:rPr>
        <w:t xml:space="preserve">Another option is that </w:t>
      </w:r>
      <w:r w:rsidRPr="00484C15">
        <w:rPr>
          <w:sz w:val="22"/>
          <w:szCs w:val="22"/>
        </w:rPr>
        <w:t>the UE still operates in active BWP</w:t>
      </w:r>
      <w:r w:rsidR="004E1AC9" w:rsidRPr="004E1AC9">
        <w:rPr>
          <w:sz w:val="21"/>
          <w:szCs w:val="21"/>
        </w:rPr>
        <w:t xml:space="preserve"> </w:t>
      </w:r>
      <w:r w:rsidR="004E1AC9">
        <w:rPr>
          <w:sz w:val="21"/>
          <w:szCs w:val="21"/>
        </w:rPr>
        <w:t>without SSB</w:t>
      </w:r>
      <w:r w:rsidR="0091139B">
        <w:rPr>
          <w:sz w:val="22"/>
          <w:szCs w:val="22"/>
        </w:rPr>
        <w:t xml:space="preserve"> </w:t>
      </w:r>
      <w:r w:rsidR="004E1AC9">
        <w:rPr>
          <w:sz w:val="22"/>
          <w:szCs w:val="22"/>
        </w:rPr>
        <w:t>but</w:t>
      </w:r>
      <w:r w:rsidR="0091139B">
        <w:rPr>
          <w:sz w:val="22"/>
          <w:szCs w:val="22"/>
        </w:rPr>
        <w:t xml:space="preserve"> </w:t>
      </w:r>
      <w:r w:rsidR="008912EF">
        <w:rPr>
          <w:sz w:val="22"/>
          <w:szCs w:val="22"/>
        </w:rPr>
        <w:t xml:space="preserve">serving cell timing can be guaranteed by using other </w:t>
      </w:r>
      <w:r w:rsidR="008912EF">
        <w:rPr>
          <w:rFonts w:hint="eastAsia"/>
          <w:sz w:val="22"/>
          <w:szCs w:val="22"/>
        </w:rPr>
        <w:t>RSs</w:t>
      </w:r>
      <w:r w:rsidR="008912EF">
        <w:rPr>
          <w:sz w:val="22"/>
          <w:szCs w:val="22"/>
        </w:rPr>
        <w:t xml:space="preserve"> </w:t>
      </w:r>
      <w:r w:rsidR="008912EF">
        <w:rPr>
          <w:rFonts w:hint="eastAsia"/>
          <w:sz w:val="22"/>
          <w:szCs w:val="22"/>
        </w:rPr>
        <w:t>for</w:t>
      </w:r>
      <w:r w:rsidR="008912EF">
        <w:rPr>
          <w:sz w:val="22"/>
          <w:szCs w:val="22"/>
        </w:rPr>
        <w:t xml:space="preserve"> </w:t>
      </w:r>
      <w:r w:rsidR="008912EF">
        <w:rPr>
          <w:rFonts w:hint="eastAsia"/>
          <w:sz w:val="22"/>
          <w:szCs w:val="22"/>
        </w:rPr>
        <w:t>serving</w:t>
      </w:r>
      <w:r w:rsidR="008912EF">
        <w:rPr>
          <w:sz w:val="22"/>
          <w:szCs w:val="22"/>
        </w:rPr>
        <w:t xml:space="preserve"> </w:t>
      </w:r>
      <w:r w:rsidR="008912EF">
        <w:rPr>
          <w:rFonts w:hint="eastAsia"/>
          <w:sz w:val="22"/>
          <w:szCs w:val="22"/>
        </w:rPr>
        <w:t>timing</w:t>
      </w:r>
      <w:r w:rsidR="008912EF">
        <w:rPr>
          <w:sz w:val="22"/>
          <w:szCs w:val="22"/>
        </w:rPr>
        <w:t xml:space="preserve"> </w:t>
      </w:r>
      <w:r w:rsidR="008912EF">
        <w:rPr>
          <w:rFonts w:hint="eastAsia"/>
          <w:sz w:val="22"/>
          <w:szCs w:val="22"/>
        </w:rPr>
        <w:t>tracking.</w:t>
      </w:r>
      <w:r w:rsidR="004E1AC9">
        <w:rPr>
          <w:sz w:val="22"/>
          <w:szCs w:val="22"/>
        </w:rPr>
        <w:t xml:space="preserve"> </w:t>
      </w:r>
      <w:r w:rsidR="009902F6" w:rsidRPr="00370F54">
        <w:rPr>
          <w:sz w:val="22"/>
          <w:szCs w:val="22"/>
        </w:rPr>
        <w:t>RLM/BFD/CBD/BM measurement</w:t>
      </w:r>
      <w:r w:rsidR="009902F6">
        <w:rPr>
          <w:sz w:val="22"/>
          <w:szCs w:val="22"/>
        </w:rPr>
        <w:t>s</w:t>
      </w:r>
      <w:r w:rsidR="009902F6" w:rsidRPr="00370F54">
        <w:rPr>
          <w:sz w:val="22"/>
          <w:szCs w:val="22"/>
        </w:rPr>
        <w:t xml:space="preserve"> </w:t>
      </w:r>
      <w:r w:rsidR="008912EF">
        <w:rPr>
          <w:sz w:val="22"/>
          <w:szCs w:val="22"/>
        </w:rPr>
        <w:t>can be</w:t>
      </w:r>
      <w:r w:rsidR="009902F6" w:rsidRPr="00370F54">
        <w:rPr>
          <w:sz w:val="22"/>
          <w:szCs w:val="22"/>
        </w:rPr>
        <w:t xml:space="preserve"> </w:t>
      </w:r>
      <w:r w:rsidR="004E1AC9">
        <w:rPr>
          <w:sz w:val="22"/>
          <w:szCs w:val="22"/>
        </w:rPr>
        <w:t>continued with such serving timing</w:t>
      </w:r>
      <w:r w:rsidR="003C1684">
        <w:rPr>
          <w:sz w:val="22"/>
          <w:szCs w:val="22"/>
        </w:rPr>
        <w:t>.</w:t>
      </w:r>
      <w:r w:rsidR="004E1AC9">
        <w:rPr>
          <w:sz w:val="21"/>
          <w:szCs w:val="21"/>
        </w:rPr>
        <w:t xml:space="preserve"> </w:t>
      </w:r>
    </w:p>
    <w:p w14:paraId="65266505" w14:textId="49F13CAD" w:rsidR="00EA30DB" w:rsidRDefault="00EC39B9" w:rsidP="00EA30DB">
      <w:pPr>
        <w:spacing w:before="240" w:after="0"/>
        <w:jc w:val="both"/>
        <w:rPr>
          <w:sz w:val="22"/>
          <w:szCs w:val="22"/>
        </w:rPr>
      </w:pPr>
      <w:r>
        <w:rPr>
          <w:rFonts w:hint="eastAsia"/>
          <w:sz w:val="22"/>
          <w:szCs w:val="22"/>
        </w:rPr>
        <w:t>T</w:t>
      </w:r>
      <w:r>
        <w:rPr>
          <w:sz w:val="22"/>
          <w:szCs w:val="22"/>
        </w:rPr>
        <w:t xml:space="preserve">he </w:t>
      </w:r>
      <w:r>
        <w:rPr>
          <w:rFonts w:hint="eastAsia"/>
          <w:sz w:val="22"/>
          <w:szCs w:val="22"/>
        </w:rPr>
        <w:t>above</w:t>
      </w:r>
      <w:r>
        <w:rPr>
          <w:sz w:val="22"/>
          <w:szCs w:val="22"/>
        </w:rPr>
        <w:t xml:space="preserve"> two options are possible solutions for UE to support </w:t>
      </w:r>
      <w:r>
        <w:rPr>
          <w:sz w:val="21"/>
          <w:szCs w:val="21"/>
        </w:rPr>
        <w:t>BM/</w:t>
      </w:r>
      <w:r w:rsidRPr="00E50150">
        <w:rPr>
          <w:sz w:val="21"/>
          <w:szCs w:val="21"/>
        </w:rPr>
        <w:t>RLM/BFD when the active BWP does not contain SSB.</w:t>
      </w:r>
      <w:r>
        <w:rPr>
          <w:sz w:val="21"/>
          <w:szCs w:val="21"/>
        </w:rPr>
        <w:t xml:space="preserve"> Any other UE implementation is not precluded. </w:t>
      </w:r>
      <w:r w:rsidR="004E1AC9">
        <w:rPr>
          <w:sz w:val="21"/>
          <w:szCs w:val="21"/>
        </w:rPr>
        <w:t>Besides,</w:t>
      </w:r>
      <w:r w:rsidR="009902F6">
        <w:rPr>
          <w:sz w:val="22"/>
          <w:szCs w:val="22"/>
        </w:rPr>
        <w:t xml:space="preserve"> </w:t>
      </w:r>
      <w:r w:rsidR="004E1AC9">
        <w:rPr>
          <w:sz w:val="22"/>
          <w:szCs w:val="22"/>
        </w:rPr>
        <w:t>the existing</w:t>
      </w:r>
      <w:r w:rsidR="009902F6">
        <w:rPr>
          <w:sz w:val="22"/>
          <w:szCs w:val="22"/>
        </w:rPr>
        <w:t xml:space="preserve"> </w:t>
      </w:r>
      <w:r w:rsidR="009902F6" w:rsidRPr="00370F54">
        <w:rPr>
          <w:sz w:val="22"/>
          <w:szCs w:val="22"/>
        </w:rPr>
        <w:t>RLM/BFD/CBD/BM measurement</w:t>
      </w:r>
      <w:r w:rsidR="009902F6">
        <w:rPr>
          <w:sz w:val="22"/>
          <w:szCs w:val="22"/>
        </w:rPr>
        <w:t>s</w:t>
      </w:r>
      <w:r w:rsidR="00EA30DB" w:rsidRPr="006E1350">
        <w:rPr>
          <w:sz w:val="22"/>
          <w:szCs w:val="22"/>
        </w:rPr>
        <w:t xml:space="preserve"> </w:t>
      </w:r>
      <w:r w:rsidR="009902F6">
        <w:rPr>
          <w:sz w:val="22"/>
          <w:szCs w:val="22"/>
        </w:rPr>
        <w:t>does not support m</w:t>
      </w:r>
      <w:r w:rsidR="00EA30DB">
        <w:rPr>
          <w:sz w:val="22"/>
          <w:szCs w:val="22"/>
        </w:rPr>
        <w:t xml:space="preserve">easurement </w:t>
      </w:r>
      <w:r w:rsidR="009902F6">
        <w:rPr>
          <w:sz w:val="22"/>
          <w:szCs w:val="22"/>
        </w:rPr>
        <w:t xml:space="preserve">within </w:t>
      </w:r>
      <w:r w:rsidR="00EA30DB">
        <w:rPr>
          <w:sz w:val="22"/>
          <w:szCs w:val="22"/>
        </w:rPr>
        <w:t>gap</w:t>
      </w:r>
      <w:r w:rsidR="009902F6">
        <w:rPr>
          <w:sz w:val="22"/>
          <w:szCs w:val="22"/>
        </w:rPr>
        <w:t>.</w:t>
      </w:r>
      <w:r>
        <w:rPr>
          <w:sz w:val="22"/>
          <w:szCs w:val="22"/>
        </w:rPr>
        <w:t xml:space="preserve"> It could be not a restriction if additional scheme is allowed for UE</w:t>
      </w:r>
      <w:r w:rsidR="00E65BDE">
        <w:rPr>
          <w:sz w:val="22"/>
          <w:szCs w:val="22"/>
        </w:rPr>
        <w:t>, which depends on further discussion in R18, e.g., L1 measurement with gap</w:t>
      </w:r>
      <w:r w:rsidR="00EA30DB">
        <w:rPr>
          <w:sz w:val="22"/>
          <w:szCs w:val="22"/>
        </w:rPr>
        <w:t>.</w:t>
      </w:r>
      <w:r>
        <w:rPr>
          <w:sz w:val="22"/>
          <w:szCs w:val="22"/>
        </w:rPr>
        <w:t xml:space="preserve"> </w:t>
      </w:r>
    </w:p>
    <w:p w14:paraId="35F17CB2" w14:textId="7C809C4D" w:rsidR="00E65BDE" w:rsidRPr="00E65BDE" w:rsidRDefault="003C1684" w:rsidP="00E65BDE">
      <w:pPr>
        <w:spacing w:before="120" w:afterLines="50" w:after="120"/>
        <w:jc w:val="both"/>
        <w:rPr>
          <w:sz w:val="22"/>
          <w:szCs w:val="22"/>
        </w:rPr>
      </w:pPr>
      <w:r w:rsidRPr="003C1684">
        <w:rPr>
          <w:sz w:val="22"/>
          <w:szCs w:val="22"/>
        </w:rPr>
        <w:t>Therefore, UE should be allowed to perform BM/RLM/BFD when the active BWP does not contain SSB, which is up to UE implementation</w:t>
      </w:r>
      <w:r>
        <w:rPr>
          <w:sz w:val="22"/>
          <w:szCs w:val="22"/>
        </w:rPr>
        <w:t xml:space="preserve"> at least </w:t>
      </w:r>
      <w:r w:rsidR="00E65BDE">
        <w:rPr>
          <w:sz w:val="22"/>
          <w:szCs w:val="22"/>
        </w:rPr>
        <w:t>in Rel-15/16/17</w:t>
      </w:r>
      <w:r w:rsidRPr="003C1684">
        <w:rPr>
          <w:sz w:val="22"/>
          <w:szCs w:val="22"/>
        </w:rPr>
        <w:t>.</w:t>
      </w:r>
    </w:p>
    <w:p w14:paraId="692C2DEC" w14:textId="5050F600" w:rsidR="00E73F28" w:rsidRPr="00E65BDE" w:rsidRDefault="003C1684" w:rsidP="00E65BDE">
      <w:pPr>
        <w:spacing w:beforeLines="50" w:before="120" w:afterLines="50" w:after="120"/>
        <w:jc w:val="both"/>
        <w:rPr>
          <w:b/>
          <w:sz w:val="22"/>
          <w:szCs w:val="22"/>
        </w:rPr>
      </w:pPr>
      <w:r w:rsidRPr="00E65BDE">
        <w:rPr>
          <w:rFonts w:hint="eastAsia"/>
          <w:b/>
          <w:sz w:val="22"/>
          <w:szCs w:val="22"/>
        </w:rPr>
        <w:lastRenderedPageBreak/>
        <w:t>Proposal</w:t>
      </w:r>
      <w:r w:rsidRPr="00E65BDE">
        <w:rPr>
          <w:b/>
          <w:sz w:val="22"/>
          <w:szCs w:val="22"/>
        </w:rPr>
        <w:t xml:space="preserve"> </w:t>
      </w:r>
      <w:r w:rsidRPr="00E65BDE">
        <w:rPr>
          <w:rFonts w:hint="eastAsia"/>
          <w:b/>
          <w:sz w:val="22"/>
          <w:szCs w:val="22"/>
        </w:rPr>
        <w:t>2:</w:t>
      </w:r>
      <w:r w:rsidRPr="00E65BDE">
        <w:rPr>
          <w:b/>
          <w:sz w:val="22"/>
          <w:szCs w:val="22"/>
        </w:rPr>
        <w:t xml:space="preserve"> UE should be allowed to perform BM/RLM/BFD when the active BWP does not contain SSB, which is </w:t>
      </w:r>
      <w:r w:rsidR="006D617C" w:rsidRPr="00E65BDE">
        <w:rPr>
          <w:b/>
          <w:sz w:val="22"/>
          <w:szCs w:val="22"/>
        </w:rPr>
        <w:t>up to UE implementation</w:t>
      </w:r>
      <w:r w:rsidR="00E65BDE" w:rsidRPr="00E65BDE">
        <w:rPr>
          <w:b/>
          <w:sz w:val="22"/>
          <w:szCs w:val="22"/>
        </w:rPr>
        <w:t xml:space="preserve"> at least in Rel-15/16/17</w:t>
      </w:r>
      <w:r w:rsidR="006D617C" w:rsidRPr="00E65BDE">
        <w:rPr>
          <w:b/>
          <w:sz w:val="22"/>
          <w:szCs w:val="22"/>
        </w:rPr>
        <w:t xml:space="preserve">. </w:t>
      </w:r>
    </w:p>
    <w:p w14:paraId="2CC1EB7F" w14:textId="77777777" w:rsidR="003F6A57" w:rsidRPr="001D2FBF" w:rsidRDefault="003F6A57" w:rsidP="007B6F88">
      <w:pPr>
        <w:pStyle w:val="1"/>
        <w:numPr>
          <w:ilvl w:val="0"/>
          <w:numId w:val="23"/>
        </w:numPr>
        <w:tabs>
          <w:tab w:val="num" w:pos="432"/>
        </w:tabs>
        <w:spacing w:before="360" w:after="0"/>
        <w:ind w:left="357" w:hanging="357"/>
        <w:jc w:val="both"/>
      </w:pPr>
      <w:r w:rsidRPr="001D2FBF">
        <w:t>Summary</w:t>
      </w:r>
    </w:p>
    <w:p w14:paraId="26743690" w14:textId="6B90238F" w:rsidR="003F6A57" w:rsidRDefault="003F6A57" w:rsidP="007B6F88">
      <w:pPr>
        <w:spacing w:before="240" w:after="0"/>
        <w:jc w:val="both"/>
        <w:rPr>
          <w:sz w:val="22"/>
          <w:szCs w:val="22"/>
        </w:rPr>
      </w:pPr>
      <w:r w:rsidRPr="009F22C0">
        <w:rPr>
          <w:sz w:val="22"/>
          <w:szCs w:val="22"/>
        </w:rPr>
        <w:t xml:space="preserve">In this </w:t>
      </w:r>
      <w:r>
        <w:rPr>
          <w:sz w:val="22"/>
          <w:szCs w:val="22"/>
        </w:rPr>
        <w:t xml:space="preserve">contribution, we further provided our views </w:t>
      </w:r>
      <w:r>
        <w:rPr>
          <w:sz w:val="22"/>
          <w:szCs w:val="22"/>
          <w:lang w:val="en-US"/>
        </w:rPr>
        <w:t xml:space="preserve">on </w:t>
      </w:r>
      <w:r w:rsidR="009C7DE0">
        <w:rPr>
          <w:sz w:val="22"/>
          <w:szCs w:val="22"/>
          <w:lang w:val="en-US"/>
        </w:rPr>
        <w:t>BWP operation without bandwidth restriction</w:t>
      </w:r>
      <w:bookmarkStart w:id="6" w:name="_Hlk23953093"/>
      <w:r w:rsidR="00E65BDE">
        <w:rPr>
          <w:sz w:val="22"/>
          <w:szCs w:val="22"/>
          <w:lang w:val="en-US"/>
        </w:rPr>
        <w:t>:</w:t>
      </w:r>
    </w:p>
    <w:p w14:paraId="2258B5C0" w14:textId="13B12501" w:rsidR="00E65BDE" w:rsidRPr="00E65BDE" w:rsidRDefault="00E65BDE" w:rsidP="00E65BDE">
      <w:pPr>
        <w:spacing w:afterLines="50" w:after="120"/>
        <w:jc w:val="both"/>
        <w:rPr>
          <w:b/>
          <w:sz w:val="22"/>
          <w:szCs w:val="22"/>
        </w:rPr>
      </w:pPr>
      <w:r w:rsidRPr="00EA30DB">
        <w:rPr>
          <w:rFonts w:hint="eastAsia"/>
          <w:b/>
          <w:sz w:val="22"/>
          <w:szCs w:val="22"/>
        </w:rPr>
        <w:t>P</w:t>
      </w:r>
      <w:r w:rsidRPr="00EA30DB">
        <w:rPr>
          <w:b/>
          <w:sz w:val="22"/>
          <w:szCs w:val="22"/>
        </w:rPr>
        <w:t xml:space="preserve">roposal 1: </w:t>
      </w:r>
      <w:r w:rsidRPr="00EA30DB">
        <w:rPr>
          <w:b/>
          <w:sz w:val="21"/>
          <w:szCs w:val="21"/>
          <w:lang w:eastAsia="ja-JP"/>
        </w:rPr>
        <w:t>From a RAN4 specification point of view, the scenario in which UE does not perform BM/RLM/BFD is not valid.</w:t>
      </w:r>
    </w:p>
    <w:p w14:paraId="203C27B8" w14:textId="0DE55B2D" w:rsidR="00E65BDE" w:rsidRPr="00E65BDE" w:rsidRDefault="00E65BDE" w:rsidP="00E65BDE">
      <w:pPr>
        <w:spacing w:afterLines="50" w:after="120"/>
        <w:jc w:val="both"/>
        <w:rPr>
          <w:b/>
          <w:sz w:val="21"/>
          <w:szCs w:val="21"/>
        </w:rPr>
      </w:pPr>
      <w:r w:rsidRPr="003C1684">
        <w:rPr>
          <w:rFonts w:hint="eastAsia"/>
          <w:b/>
          <w:sz w:val="21"/>
          <w:szCs w:val="21"/>
        </w:rPr>
        <w:t>Proposal</w:t>
      </w:r>
      <w:r w:rsidRPr="003C1684">
        <w:rPr>
          <w:b/>
          <w:sz w:val="21"/>
          <w:szCs w:val="21"/>
        </w:rPr>
        <w:t xml:space="preserve"> </w:t>
      </w:r>
      <w:r w:rsidRPr="003C1684">
        <w:rPr>
          <w:rFonts w:hint="eastAsia"/>
          <w:b/>
          <w:sz w:val="21"/>
          <w:szCs w:val="21"/>
        </w:rPr>
        <w:t>2:</w:t>
      </w:r>
      <w:r w:rsidRPr="003C1684">
        <w:rPr>
          <w:b/>
          <w:sz w:val="21"/>
          <w:szCs w:val="21"/>
        </w:rPr>
        <w:t xml:space="preserve"> UE should be allowed to perform BM/RLM/BFD when the active BWP does not contain SSB, which is up to UE implementation</w:t>
      </w:r>
      <w:r w:rsidRPr="00E65BDE">
        <w:rPr>
          <w:sz w:val="22"/>
          <w:szCs w:val="22"/>
        </w:rPr>
        <w:t xml:space="preserve"> </w:t>
      </w:r>
      <w:r w:rsidRPr="00E65BDE">
        <w:rPr>
          <w:b/>
          <w:sz w:val="22"/>
          <w:szCs w:val="22"/>
        </w:rPr>
        <w:t>at least in Rel-15/16/17</w:t>
      </w:r>
      <w:r w:rsidRPr="003C1684">
        <w:rPr>
          <w:b/>
          <w:sz w:val="21"/>
          <w:szCs w:val="21"/>
        </w:rPr>
        <w:t xml:space="preserve">. </w:t>
      </w:r>
    </w:p>
    <w:bookmarkEnd w:id="6"/>
    <w:p w14:paraId="07962B32" w14:textId="77777777" w:rsidR="003F6A57" w:rsidRPr="0064384A" w:rsidRDefault="003F6A57" w:rsidP="007B6F88">
      <w:pPr>
        <w:pStyle w:val="a3"/>
        <w:keepNext/>
        <w:keepLines/>
        <w:numPr>
          <w:ilvl w:val="0"/>
          <w:numId w:val="23"/>
        </w:numPr>
        <w:pBdr>
          <w:top w:val="single" w:sz="12" w:space="3" w:color="auto"/>
        </w:pBdr>
        <w:spacing w:before="360" w:after="0"/>
        <w:ind w:left="357" w:hanging="357"/>
        <w:jc w:val="both"/>
        <w:outlineLvl w:val="0"/>
        <w:rPr>
          <w:sz w:val="36"/>
          <w:szCs w:val="36"/>
        </w:rPr>
      </w:pPr>
      <w:r w:rsidRPr="001D2FBF">
        <w:rPr>
          <w:sz w:val="36"/>
        </w:rPr>
        <w:t>References</w:t>
      </w:r>
      <w:bookmarkEnd w:id="4"/>
      <w:bookmarkEnd w:id="5"/>
    </w:p>
    <w:p w14:paraId="257C29A1" w14:textId="77777777" w:rsidR="00BF6C65" w:rsidRDefault="003F6A57" w:rsidP="007B6F88">
      <w:pPr>
        <w:pStyle w:val="a3"/>
        <w:numPr>
          <w:ilvl w:val="0"/>
          <w:numId w:val="24"/>
        </w:numPr>
        <w:spacing w:before="240" w:after="0"/>
        <w:jc w:val="both"/>
        <w:rPr>
          <w:sz w:val="22"/>
          <w:szCs w:val="28"/>
        </w:rPr>
      </w:pPr>
      <w:r w:rsidRPr="00E7712D">
        <w:rPr>
          <w:sz w:val="22"/>
          <w:szCs w:val="28"/>
        </w:rPr>
        <w:t>R2-2204</w:t>
      </w:r>
      <w:r>
        <w:rPr>
          <w:sz w:val="22"/>
          <w:szCs w:val="28"/>
        </w:rPr>
        <w:t>009</w:t>
      </w:r>
      <w:r w:rsidR="00BF6C65">
        <w:rPr>
          <w:sz w:val="22"/>
          <w:szCs w:val="28"/>
        </w:rPr>
        <w:t xml:space="preserve">, </w:t>
      </w:r>
      <w:r w:rsidRPr="003F6A57">
        <w:rPr>
          <w:sz w:val="22"/>
          <w:szCs w:val="28"/>
        </w:rPr>
        <w:t>LS on BWP operation without bandwidth restriction</w:t>
      </w:r>
      <w:r w:rsidRPr="00E7712D">
        <w:rPr>
          <w:sz w:val="22"/>
          <w:szCs w:val="28"/>
        </w:rPr>
        <w:t>, RAN2</w:t>
      </w:r>
      <w:bookmarkEnd w:id="2"/>
    </w:p>
    <w:p w14:paraId="65E39041" w14:textId="227E6FF0" w:rsidR="00510913" w:rsidRPr="00E65BDE" w:rsidRDefault="00BF6C65" w:rsidP="007B6F88">
      <w:pPr>
        <w:pStyle w:val="a3"/>
        <w:numPr>
          <w:ilvl w:val="0"/>
          <w:numId w:val="24"/>
        </w:numPr>
        <w:spacing w:before="240" w:after="0"/>
        <w:jc w:val="both"/>
        <w:rPr>
          <w:sz w:val="22"/>
          <w:szCs w:val="28"/>
        </w:rPr>
      </w:pPr>
      <w:r w:rsidRPr="00BF6C65">
        <w:rPr>
          <w:sz w:val="22"/>
          <w:szCs w:val="28"/>
        </w:rPr>
        <w:t>RP-221870</w:t>
      </w:r>
      <w:r>
        <w:rPr>
          <w:sz w:val="22"/>
          <w:szCs w:val="28"/>
        </w:rPr>
        <w:t xml:space="preserve">, </w:t>
      </w:r>
      <w:r w:rsidRPr="00BF6C65">
        <w:rPr>
          <w:sz w:val="22"/>
          <w:szCs w:val="28"/>
          <w:lang w:val="en-GB"/>
        </w:rPr>
        <w:t>NCD-SSB for all devices:</w:t>
      </w:r>
      <w:r>
        <w:rPr>
          <w:sz w:val="22"/>
          <w:szCs w:val="28"/>
          <w:lang w:val="en-GB"/>
        </w:rPr>
        <w:t xml:space="preserve"> </w:t>
      </w:r>
      <w:r w:rsidRPr="00BF6C65">
        <w:rPr>
          <w:sz w:val="22"/>
          <w:szCs w:val="28"/>
          <w:lang w:val="en-GB"/>
        </w:rPr>
        <w:t>proposed Way Forward</w:t>
      </w:r>
      <w:r>
        <w:rPr>
          <w:sz w:val="22"/>
          <w:szCs w:val="28"/>
          <w:lang w:val="en-GB"/>
        </w:rPr>
        <w:t xml:space="preserve">, </w:t>
      </w:r>
      <w:r w:rsidRPr="00BF6C65">
        <w:rPr>
          <w:sz w:val="22"/>
          <w:szCs w:val="28"/>
          <w:lang w:val="en-GB"/>
        </w:rPr>
        <w:t>Vodafone</w:t>
      </w:r>
    </w:p>
    <w:sectPr w:rsidR="00510913" w:rsidRPr="00E65BDE">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4E1E5" w14:textId="77777777" w:rsidR="00D059D9" w:rsidRDefault="00D059D9">
      <w:pPr>
        <w:spacing w:after="0"/>
      </w:pPr>
      <w:r>
        <w:separator/>
      </w:r>
    </w:p>
  </w:endnote>
  <w:endnote w:type="continuationSeparator" w:id="0">
    <w:p w14:paraId="605ECD26" w14:textId="77777777" w:rsidR="00D059D9" w:rsidRDefault="00D059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DC471" w14:textId="77777777" w:rsidR="00D059D9" w:rsidRDefault="00D059D9">
      <w:pPr>
        <w:spacing w:after="0"/>
      </w:pPr>
      <w:r>
        <w:separator/>
      </w:r>
    </w:p>
  </w:footnote>
  <w:footnote w:type="continuationSeparator" w:id="0">
    <w:p w14:paraId="6AA0B92E" w14:textId="77777777" w:rsidR="00D059D9" w:rsidRDefault="00D059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C064F5F"/>
    <w:multiLevelType w:val="hybridMultilevel"/>
    <w:tmpl w:val="4992D472"/>
    <w:lvl w:ilvl="0" w:tplc="91D897AE">
      <w:start w:val="1"/>
      <w:numFmt w:val="decimal"/>
      <w:lvlText w:val="%1."/>
      <w:lvlJc w:val="left"/>
      <w:pPr>
        <w:tabs>
          <w:tab w:val="num" w:pos="720"/>
        </w:tabs>
        <w:ind w:left="720" w:hanging="360"/>
      </w:pPr>
    </w:lvl>
    <w:lvl w:ilvl="1" w:tplc="658E8CA4" w:tentative="1">
      <w:start w:val="1"/>
      <w:numFmt w:val="decimal"/>
      <w:lvlText w:val="%2."/>
      <w:lvlJc w:val="left"/>
      <w:pPr>
        <w:tabs>
          <w:tab w:val="num" w:pos="1440"/>
        </w:tabs>
        <w:ind w:left="1440" w:hanging="360"/>
      </w:pPr>
    </w:lvl>
    <w:lvl w:ilvl="2" w:tplc="0C486E4A" w:tentative="1">
      <w:start w:val="1"/>
      <w:numFmt w:val="decimal"/>
      <w:lvlText w:val="%3."/>
      <w:lvlJc w:val="left"/>
      <w:pPr>
        <w:tabs>
          <w:tab w:val="num" w:pos="2160"/>
        </w:tabs>
        <w:ind w:left="2160" w:hanging="360"/>
      </w:pPr>
    </w:lvl>
    <w:lvl w:ilvl="3" w:tplc="964662C8" w:tentative="1">
      <w:start w:val="1"/>
      <w:numFmt w:val="decimal"/>
      <w:lvlText w:val="%4."/>
      <w:lvlJc w:val="left"/>
      <w:pPr>
        <w:tabs>
          <w:tab w:val="num" w:pos="2880"/>
        </w:tabs>
        <w:ind w:left="2880" w:hanging="360"/>
      </w:pPr>
    </w:lvl>
    <w:lvl w:ilvl="4" w:tplc="05A872EA" w:tentative="1">
      <w:start w:val="1"/>
      <w:numFmt w:val="decimal"/>
      <w:lvlText w:val="%5."/>
      <w:lvlJc w:val="left"/>
      <w:pPr>
        <w:tabs>
          <w:tab w:val="num" w:pos="3600"/>
        </w:tabs>
        <w:ind w:left="3600" w:hanging="360"/>
      </w:pPr>
    </w:lvl>
    <w:lvl w:ilvl="5" w:tplc="F95E522A" w:tentative="1">
      <w:start w:val="1"/>
      <w:numFmt w:val="decimal"/>
      <w:lvlText w:val="%6."/>
      <w:lvlJc w:val="left"/>
      <w:pPr>
        <w:tabs>
          <w:tab w:val="num" w:pos="4320"/>
        </w:tabs>
        <w:ind w:left="4320" w:hanging="360"/>
      </w:pPr>
    </w:lvl>
    <w:lvl w:ilvl="6" w:tplc="653891F0" w:tentative="1">
      <w:start w:val="1"/>
      <w:numFmt w:val="decimal"/>
      <w:lvlText w:val="%7."/>
      <w:lvlJc w:val="left"/>
      <w:pPr>
        <w:tabs>
          <w:tab w:val="num" w:pos="5040"/>
        </w:tabs>
        <w:ind w:left="5040" w:hanging="360"/>
      </w:pPr>
    </w:lvl>
    <w:lvl w:ilvl="7" w:tplc="4C06E072" w:tentative="1">
      <w:start w:val="1"/>
      <w:numFmt w:val="decimal"/>
      <w:lvlText w:val="%8."/>
      <w:lvlJc w:val="left"/>
      <w:pPr>
        <w:tabs>
          <w:tab w:val="num" w:pos="5760"/>
        </w:tabs>
        <w:ind w:left="5760" w:hanging="360"/>
      </w:pPr>
    </w:lvl>
    <w:lvl w:ilvl="8" w:tplc="F20C6414" w:tentative="1">
      <w:start w:val="1"/>
      <w:numFmt w:val="decimal"/>
      <w:lvlText w:val="%9."/>
      <w:lvlJc w:val="left"/>
      <w:pPr>
        <w:tabs>
          <w:tab w:val="num" w:pos="6480"/>
        </w:tabs>
        <w:ind w:left="6480" w:hanging="36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6"/>
  </w:num>
  <w:num w:numId="22">
    <w:abstractNumId w:val="25"/>
  </w:num>
  <w:num w:numId="23">
    <w:abstractNumId w:val="28"/>
  </w:num>
  <w:num w:numId="24">
    <w:abstractNumId w:val="21"/>
  </w:num>
  <w:num w:numId="25">
    <w:abstractNumId w:val="27"/>
  </w:num>
  <w:num w:numId="26">
    <w:abstractNumId w:val="24"/>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2D43"/>
    <w:rsid w:val="00053212"/>
    <w:rsid w:val="000557C6"/>
    <w:rsid w:val="00061D80"/>
    <w:rsid w:val="00062173"/>
    <w:rsid w:val="00062C8D"/>
    <w:rsid w:val="00062EAC"/>
    <w:rsid w:val="00063F7C"/>
    <w:rsid w:val="0006461E"/>
    <w:rsid w:val="000650D0"/>
    <w:rsid w:val="000664AD"/>
    <w:rsid w:val="00066F42"/>
    <w:rsid w:val="0007009F"/>
    <w:rsid w:val="00071E1B"/>
    <w:rsid w:val="00072824"/>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375"/>
    <w:rsid w:val="000B7BB4"/>
    <w:rsid w:val="000C0C3A"/>
    <w:rsid w:val="000C4006"/>
    <w:rsid w:val="000D029D"/>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19B"/>
    <w:rsid w:val="00111A1C"/>
    <w:rsid w:val="001136B3"/>
    <w:rsid w:val="00114BE9"/>
    <w:rsid w:val="00115754"/>
    <w:rsid w:val="00116475"/>
    <w:rsid w:val="001170FA"/>
    <w:rsid w:val="00117FCE"/>
    <w:rsid w:val="00121302"/>
    <w:rsid w:val="00121D43"/>
    <w:rsid w:val="00123848"/>
    <w:rsid w:val="0012442A"/>
    <w:rsid w:val="00126689"/>
    <w:rsid w:val="001302C2"/>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47366"/>
    <w:rsid w:val="0015167D"/>
    <w:rsid w:val="0015530B"/>
    <w:rsid w:val="0015669C"/>
    <w:rsid w:val="001579C2"/>
    <w:rsid w:val="00157F37"/>
    <w:rsid w:val="00160416"/>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4BDA"/>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1"/>
    <w:rsid w:val="00212EC4"/>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380"/>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3C1"/>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60A8"/>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0F54"/>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415A"/>
    <w:rsid w:val="00396E88"/>
    <w:rsid w:val="003A034F"/>
    <w:rsid w:val="003A1316"/>
    <w:rsid w:val="003A16D2"/>
    <w:rsid w:val="003A4F79"/>
    <w:rsid w:val="003A4F90"/>
    <w:rsid w:val="003A509A"/>
    <w:rsid w:val="003A68FB"/>
    <w:rsid w:val="003A722C"/>
    <w:rsid w:val="003A7F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684"/>
    <w:rsid w:val="003C1824"/>
    <w:rsid w:val="003C1C93"/>
    <w:rsid w:val="003C2094"/>
    <w:rsid w:val="003C3CE5"/>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6A57"/>
    <w:rsid w:val="003F705D"/>
    <w:rsid w:val="003F7F33"/>
    <w:rsid w:val="00402970"/>
    <w:rsid w:val="00403EEE"/>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348"/>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4563"/>
    <w:rsid w:val="004A5F6D"/>
    <w:rsid w:val="004A5F77"/>
    <w:rsid w:val="004B039E"/>
    <w:rsid w:val="004B10E9"/>
    <w:rsid w:val="004B12C1"/>
    <w:rsid w:val="004B33BE"/>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1AC9"/>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18A7"/>
    <w:rsid w:val="00501FA1"/>
    <w:rsid w:val="00502AC7"/>
    <w:rsid w:val="00504226"/>
    <w:rsid w:val="00505B65"/>
    <w:rsid w:val="00507227"/>
    <w:rsid w:val="00507DDA"/>
    <w:rsid w:val="00510913"/>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5F7745"/>
    <w:rsid w:val="00600AEB"/>
    <w:rsid w:val="006010D9"/>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AE8"/>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4FDB"/>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3F25"/>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617C"/>
    <w:rsid w:val="006D74A9"/>
    <w:rsid w:val="006D797F"/>
    <w:rsid w:val="006D7BCF"/>
    <w:rsid w:val="006E1350"/>
    <w:rsid w:val="006E2F5F"/>
    <w:rsid w:val="006E2FF4"/>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16FC"/>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2DA"/>
    <w:rsid w:val="00742FB1"/>
    <w:rsid w:val="007430EC"/>
    <w:rsid w:val="00745A6C"/>
    <w:rsid w:val="007474E9"/>
    <w:rsid w:val="00747B74"/>
    <w:rsid w:val="00751475"/>
    <w:rsid w:val="00752B56"/>
    <w:rsid w:val="0075455F"/>
    <w:rsid w:val="007549DE"/>
    <w:rsid w:val="00755C81"/>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413B"/>
    <w:rsid w:val="007974B3"/>
    <w:rsid w:val="007A2802"/>
    <w:rsid w:val="007A345E"/>
    <w:rsid w:val="007A6740"/>
    <w:rsid w:val="007A6E3F"/>
    <w:rsid w:val="007A74C1"/>
    <w:rsid w:val="007A779D"/>
    <w:rsid w:val="007B0689"/>
    <w:rsid w:val="007B0FE8"/>
    <w:rsid w:val="007B1209"/>
    <w:rsid w:val="007B17B0"/>
    <w:rsid w:val="007B313D"/>
    <w:rsid w:val="007B4508"/>
    <w:rsid w:val="007B570E"/>
    <w:rsid w:val="007B6F88"/>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1EC6"/>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B0A"/>
    <w:rsid w:val="00890C95"/>
    <w:rsid w:val="00890CC7"/>
    <w:rsid w:val="008911BE"/>
    <w:rsid w:val="008912EF"/>
    <w:rsid w:val="00891C22"/>
    <w:rsid w:val="00892CC5"/>
    <w:rsid w:val="00893438"/>
    <w:rsid w:val="008947A4"/>
    <w:rsid w:val="00895036"/>
    <w:rsid w:val="00895B30"/>
    <w:rsid w:val="008A07F7"/>
    <w:rsid w:val="008A4977"/>
    <w:rsid w:val="008A655F"/>
    <w:rsid w:val="008A67E5"/>
    <w:rsid w:val="008A68B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39B"/>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4FF1"/>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49A8"/>
    <w:rsid w:val="00975C9F"/>
    <w:rsid w:val="00976A7E"/>
    <w:rsid w:val="00976ABB"/>
    <w:rsid w:val="0098153C"/>
    <w:rsid w:val="009833DB"/>
    <w:rsid w:val="009848A5"/>
    <w:rsid w:val="00984B5C"/>
    <w:rsid w:val="0098545A"/>
    <w:rsid w:val="00986B1C"/>
    <w:rsid w:val="00987F2A"/>
    <w:rsid w:val="009902F6"/>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5285"/>
    <w:rsid w:val="009C75E8"/>
    <w:rsid w:val="009C7DE0"/>
    <w:rsid w:val="009D5A48"/>
    <w:rsid w:val="009D623D"/>
    <w:rsid w:val="009D6F7B"/>
    <w:rsid w:val="009E11B5"/>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671"/>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FD9"/>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09D0"/>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C75A0"/>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C65"/>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57313"/>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0DC"/>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471A"/>
    <w:rsid w:val="00CF5A41"/>
    <w:rsid w:val="00CF68B2"/>
    <w:rsid w:val="00CF7D81"/>
    <w:rsid w:val="00D00926"/>
    <w:rsid w:val="00D016A3"/>
    <w:rsid w:val="00D019A4"/>
    <w:rsid w:val="00D01C68"/>
    <w:rsid w:val="00D03A94"/>
    <w:rsid w:val="00D040B3"/>
    <w:rsid w:val="00D059D9"/>
    <w:rsid w:val="00D07A95"/>
    <w:rsid w:val="00D07DEB"/>
    <w:rsid w:val="00D11924"/>
    <w:rsid w:val="00D1517A"/>
    <w:rsid w:val="00D15A33"/>
    <w:rsid w:val="00D16FBF"/>
    <w:rsid w:val="00D170A0"/>
    <w:rsid w:val="00D20C6F"/>
    <w:rsid w:val="00D20EAD"/>
    <w:rsid w:val="00D20FA8"/>
    <w:rsid w:val="00D2100B"/>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45F7"/>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682"/>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E7C60"/>
    <w:rsid w:val="00DF0DA5"/>
    <w:rsid w:val="00DF1BF8"/>
    <w:rsid w:val="00DF1D40"/>
    <w:rsid w:val="00DF26F5"/>
    <w:rsid w:val="00DF2DB6"/>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5BDE"/>
    <w:rsid w:val="00E66E2E"/>
    <w:rsid w:val="00E67072"/>
    <w:rsid w:val="00E671A0"/>
    <w:rsid w:val="00E7013D"/>
    <w:rsid w:val="00E705D0"/>
    <w:rsid w:val="00E706F0"/>
    <w:rsid w:val="00E71639"/>
    <w:rsid w:val="00E72626"/>
    <w:rsid w:val="00E72CB5"/>
    <w:rsid w:val="00E72FFB"/>
    <w:rsid w:val="00E73E19"/>
    <w:rsid w:val="00E73F28"/>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0DB"/>
    <w:rsid w:val="00EA3667"/>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9B9"/>
    <w:rsid w:val="00EC3F5D"/>
    <w:rsid w:val="00EC41D8"/>
    <w:rsid w:val="00ED017F"/>
    <w:rsid w:val="00ED08A1"/>
    <w:rsid w:val="00ED159C"/>
    <w:rsid w:val="00ED6FE8"/>
    <w:rsid w:val="00ED7601"/>
    <w:rsid w:val="00EE0E86"/>
    <w:rsid w:val="00EE1A10"/>
    <w:rsid w:val="00EE1F3F"/>
    <w:rsid w:val="00EE37FE"/>
    <w:rsid w:val="00EE4292"/>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2B60A8"/>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0183299">
      <w:bodyDiv w:val="1"/>
      <w:marLeft w:val="0"/>
      <w:marRight w:val="0"/>
      <w:marTop w:val="0"/>
      <w:marBottom w:val="0"/>
      <w:divBdr>
        <w:top w:val="none" w:sz="0" w:space="0" w:color="auto"/>
        <w:left w:val="none" w:sz="0" w:space="0" w:color="auto"/>
        <w:bottom w:val="none" w:sz="0" w:space="0" w:color="auto"/>
        <w:right w:val="none" w:sz="0" w:space="0" w:color="auto"/>
      </w:divBdr>
      <w:divsChild>
        <w:div w:id="1408528274">
          <w:marLeft w:val="806"/>
          <w:marRight w:val="0"/>
          <w:marTop w:val="200"/>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44355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691F-9E8A-4555-972F-DBEF6431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58</TotalTime>
  <Pages>2</Pages>
  <Words>521</Words>
  <Characters>2973</Characters>
  <Application>Microsoft Office Word</Application>
  <DocSecurity>0</DocSecurity>
  <Lines>24</Lines>
  <Paragraphs>6</Paragraphs>
  <ScaleCrop>false</ScaleCrop>
  <Company>Tom</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OPPO</cp:lastModifiedBy>
  <cp:revision>10</cp:revision>
  <cp:lastPrinted>1995-11-21T09:41:00Z</cp:lastPrinted>
  <dcterms:created xsi:type="dcterms:W3CDTF">2022-08-10T07:16:00Z</dcterms:created>
  <dcterms:modified xsi:type="dcterms:W3CDTF">2022-08-10T08:20:00Z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